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Autospacing="0" w:before="0" w:afterAutospacing="0" w:after="0"/>
        <w:jc w:val="right"/>
        <w:rPr>
          <w:rFonts w:ascii="Times New Roman" w:hAnsi="Times New Roman"/>
          <w:b/>
          <w:b/>
          <w:bCs/>
          <w:color w:val="C9211E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C9211E"/>
          <w:sz w:val="28"/>
          <w:szCs w:val="28"/>
          <w:lang w:val="zxx" w:eastAsia="zxx" w:bidi="zxx"/>
        </w:rPr>
        <w:t>ANEXA Nr. 1 la procedură</w:t>
      </w:r>
    </w:p>
    <w:p>
      <w:pPr>
        <w:pStyle w:val="Heading4"/>
        <w:spacing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  <w:bookmarkStart w:id="0" w:name="_GoBack"/>
      <w:bookmarkStart w:id="1" w:name="_GoBack"/>
      <w:bookmarkEnd w:id="1"/>
    </w:p>
    <w:p>
      <w:pPr>
        <w:pStyle w:val="Heading4"/>
        <w:spacing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br/>
      </w:r>
    </w:p>
    <w:p>
      <w:pPr>
        <w:pStyle w:val="Heading4"/>
        <w:spacing w:beforeAutospacing="0" w:before="0" w:afterAutospacing="0" w:after="0"/>
        <w:jc w:val="center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CERERE</w:t>
        <w:br/>
        <w:t>de acordare a eșalonării la plată</w:t>
        <w:br/>
      </w:r>
    </w:p>
    <w:p>
      <w:pPr>
        <w:pStyle w:val="Heading4"/>
        <w:spacing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Al"/>
        <w:spacing w:beforeAutospacing="0" w:before="0" w:afterAutospacing="0" w:after="0"/>
        <w:jc w:val="left"/>
        <w:rPr>
          <w:rFonts w:ascii="Times New Roman" w:hAnsi="Times New Roman"/>
          <w:bCs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Cs/>
          <w:color w:val="auto"/>
          <w:sz w:val="28"/>
          <w:szCs w:val="28"/>
          <w:lang w:val="zxx" w:eastAsia="zxx" w:bidi="zxx"/>
        </w:rPr>
      </w:r>
    </w:p>
    <w:p>
      <w:pPr>
        <w:pStyle w:val="Al"/>
        <w:spacing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  <w:t xml:space="preserve">A. </w:t>
      </w:r>
      <w:r>
        <w:rPr>
          <w:rFonts w:ascii="Times New Roman" w:hAnsi="Times New Roman"/>
          <w:b/>
          <w:color w:val="auto"/>
          <w:sz w:val="28"/>
          <w:szCs w:val="28"/>
          <w:lang w:val="zxx" w:eastAsia="zxx" w:bidi="zxx"/>
        </w:rPr>
        <w:t>Date de identificare ale debitorului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Cod de identificare fiscală 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Denumirea/numele și prenumele 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Domiciliu fiscal: județul/sectorul . . . . . . . . . ., localitatea . . . . . . . . . ., str. . . . . . . . . . . nr. . . . . . . . . . ., bl. . . . . . . . . . ., sc. . . . . . . . . . ., ap. 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Telefon . . . . . . . . . ., fax . . . . . . . . . ., e-mail 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Cod de identificare fiscală pentru sediile secundare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Codul de înregistrare fiscală atribuit de organul fiscal/codul unic de înregistrare atribuit potrivit legii speciale pentru persoane fizice care desfășoară și activități economice în mod independent sau exercită profesii libere sub alte forme decât asocieri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b/>
          <w:b/>
          <w:bCs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  <w:t xml:space="preserve">B. </w:t>
      </w:r>
      <w:r>
        <w:rPr>
          <w:rFonts w:ascii="Times New Roman" w:hAnsi="Times New Roman"/>
          <w:b/>
          <w:color w:val="auto"/>
          <w:sz w:val="28"/>
          <w:szCs w:val="28"/>
          <w:lang w:val="zxx" w:eastAsia="zxx" w:bidi="zxx"/>
        </w:rPr>
        <w:t>Datele de identificare a împuternicitului/reprezentantului legal/reprezentantului fiscal</w:t>
        <w:br/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Denumirea/Numele și prenumele 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Adresa 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Codul de identificare fiscală . . . . . . . . . 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Cs/>
          <w:color w:val="auto"/>
          <w:sz w:val="28"/>
          <w:szCs w:val="28"/>
          <w:lang w:val="zxx" w:eastAsia="zxx" w:bidi="zxx"/>
        </w:rPr>
        <w:t>C.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Obiectul cererii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ab/>
        <w:t>În temeiul prevederilor cap. I "Înlesniri la plată pentru obligațiile bugetare datorate după data declarării stării de urgență, administrate de organul fiscal central" din Ordonanța de urgență a Guvernului </w:t>
      </w:r>
      <w:r>
        <w:rPr>
          <w:rFonts w:eastAsia="Microsoft YaHei" w:ascii="Times New Roman" w:hAnsi="Times New Roman"/>
          <w:color w:val="auto"/>
          <w:sz w:val="28"/>
          <w:szCs w:val="28"/>
          <w:lang w:val="zxx" w:eastAsia="zxx" w:bidi="zxx"/>
        </w:rPr>
        <w:t>nr. 181/2020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privind unele măsuri fiscal-bugetare, pentru modificarea și completarea unor acte normative, precum și pentru prorogarea unor termene, și ale Ordinului președintelui Agenției Naționale de Administrare Fiscală nr. 3.896/2020 pentru aprobarea Procedurii de acordare a eșalonării la plată de către organul fiscal central, precum și pentru modificarea anexei nr. 2 la Ordinul președintelui Agenției Naționale de Administrare Fiscală nr. 90/2016 pentru aprobarea conținutului cererii de acordare a eșalonării la plată și a documentelor justificative anexate acesteia, precum și a Procedurii de aplicare a acordării eșalonării la plată de către organul fiscal central, solicit</w:t>
      </w:r>
      <w:r>
        <w:rPr>
          <w:rFonts w:ascii="Times New Roman" w:hAnsi="Times New Roman"/>
          <w:color w:val="auto"/>
          <w:sz w:val="28"/>
          <w:szCs w:val="28"/>
          <w:vertAlign w:val="superscript"/>
          <w:lang w:val="zxx" w:eastAsia="zxx" w:bidi="zxx"/>
        </w:rPr>
        <w:t>1)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Cs/>
          <w:color w:val="auto"/>
          <w:sz w:val="28"/>
          <w:szCs w:val="28"/>
          <w:vertAlign w:val="superscript"/>
          <w:lang w:val="zxx" w:eastAsia="zxx" w:bidi="zxx"/>
        </w:rPr>
        <w:t>1)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Se bifează una din situațiile descrise.</w:t>
        <w:br/>
      </w:r>
    </w:p>
    <w:tbl>
      <w:tblPr>
        <w:tblW w:w="1131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"/>
        <w:gridCol w:w="689"/>
        <w:gridCol w:w="10608"/>
      </w:tblGrid>
      <w:tr>
        <w:trPr>
          <w:trHeight w:val="15" w:hRule="exac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106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600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106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eșalonare la plată a obligațiilor fiscale, pe o perioadă de luni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vertAlign w:val="superscript"/>
                <w:lang w:val="zxx" w:eastAsia="zxx" w:bidi="zxx"/>
              </w:rPr>
              <w:t>2)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, conform art. 1 alin. (1) din Ordonanța de urgență a Guvernului nr. 181/2020</w:t>
            </w:r>
          </w:p>
        </w:tc>
      </w:tr>
      <w:tr>
        <w:trPr>
          <w:trHeight w:val="600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106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eșalonare la plată a obligațiilor fiscale, pe o perioadă de luni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vertAlign w:val="superscript"/>
                <w:lang w:val="zxx" w:eastAsia="zxx" w:bidi="zxx"/>
              </w:rPr>
              <w:t>2)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, conform art. 1 alin. (11) din Ordonanța de urgență a Guvernului nr. 181/2020</w:t>
            </w:r>
          </w:p>
        </w:tc>
      </w:tr>
      <w:tr>
        <w:trPr>
          <w:trHeight w:val="55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106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menținere a valabilității eșalonării la plată și/sau a amânării la plată a penalităților de nedeclarare, conform art. 10 din Ordonanța de urgență a Guvernului nr. 181/2020</w:t>
            </w:r>
          </w:p>
        </w:tc>
      </w:tr>
      <w:tr>
        <w:trPr>
          <w:trHeight w:val="82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6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106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modificare a deciziei de eșalonare la plată și/sau a deciziei de amânare la plată a penalităților de nedeclarare, cu acordarea eșalonării la plată pe o perioadă de luni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vertAlign w:val="superscript"/>
                <w:lang w:val="zxx" w:eastAsia="zxx" w:bidi="zxx"/>
              </w:rPr>
              <w:t>2)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, conform art. 5 din Ordonanța de urgență a Guvernului nr. 181/2020</w:t>
            </w:r>
          </w:p>
        </w:tc>
      </w:tr>
    </w:tbl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Cs/>
          <w:color w:val="auto"/>
          <w:sz w:val="28"/>
          <w:szCs w:val="28"/>
          <w:vertAlign w:val="superscript"/>
          <w:lang w:val="zxx" w:eastAsia="zxx" w:bidi="zxx"/>
        </w:rPr>
        <w:t>2)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Se menționează numărul de luni pentru care se dorește eșalonarea la plată, care poate fi de până la 12 luni.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Cs/>
          <w:color w:val="auto"/>
          <w:sz w:val="28"/>
          <w:szCs w:val="28"/>
          <w:lang w:val="zxx" w:eastAsia="zxx" w:bidi="zxx"/>
        </w:rPr>
        <w:t>D.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Solicit plata diferențiată a ratelor, iar propunerea de grafic este următoarea:</w:t>
      </w:r>
    </w:p>
    <w:tbl>
      <w:tblPr>
        <w:tblW w:w="1131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"/>
        <w:gridCol w:w="4104"/>
        <w:gridCol w:w="7193"/>
      </w:tblGrid>
      <w:tr>
        <w:trPr>
          <w:trHeight w:val="15" w:hRule="exac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1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7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600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Rata lunară</w:t>
            </w:r>
          </w:p>
        </w:tc>
        <w:tc>
          <w:tcPr>
            <w:tcW w:w="71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Procent aferent fiecărei rate lunare</w:t>
              <w:br/>
              <w:t>(principal și accesorii eșalonate)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vertAlign w:val="superscript"/>
                <w:lang w:val="zxx" w:eastAsia="zxx" w:bidi="zxx"/>
              </w:rPr>
              <w:t>3)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br/>
              <w:t>(%)</w:t>
            </w:r>
          </w:p>
        </w:tc>
      </w:tr>
      <w:tr>
        <w:trPr>
          <w:trHeight w:val="34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R1</w:t>
            </w:r>
          </w:p>
        </w:tc>
        <w:tc>
          <w:tcPr>
            <w:tcW w:w="71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4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R2</w:t>
            </w:r>
          </w:p>
        </w:tc>
        <w:tc>
          <w:tcPr>
            <w:tcW w:w="71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4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R3</w:t>
            </w:r>
          </w:p>
        </w:tc>
        <w:tc>
          <w:tcPr>
            <w:tcW w:w="71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4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. . .</w:t>
            </w:r>
          </w:p>
        </w:tc>
        <w:tc>
          <w:tcPr>
            <w:tcW w:w="71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4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R12</w:t>
            </w:r>
          </w:p>
        </w:tc>
        <w:tc>
          <w:tcPr>
            <w:tcW w:w="71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60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TOTAL</w:t>
            </w:r>
          </w:p>
        </w:tc>
        <w:tc>
          <w:tcPr>
            <w:tcW w:w="71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100%</w:t>
            </w:r>
          </w:p>
        </w:tc>
      </w:tr>
    </w:tbl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Cs/>
          <w:color w:val="auto"/>
          <w:sz w:val="28"/>
          <w:szCs w:val="28"/>
          <w:vertAlign w:val="superscript"/>
          <w:lang w:val="zxx" w:eastAsia="zxx" w:bidi="zxx"/>
        </w:rPr>
        <w:t>3)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Procentul nu poate fi mai mic de 5% din cuantumul ratei de eșalonare la plată, reprezentând obligații fiscale principale și accesorii eșalonate.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ab/>
        <w:t>Prin prezenta cerere renunț la notificarea depusă privind intenția de a beneficia de facilitățile fiscale prevăzute de </w:t>
      </w:r>
      <w:r>
        <w:rPr>
          <w:rFonts w:eastAsia="Microsoft YaHei" w:ascii="Times New Roman" w:hAnsi="Times New Roman"/>
          <w:color w:val="auto"/>
          <w:sz w:val="28"/>
          <w:szCs w:val="28"/>
          <w:lang w:val="zxx" w:eastAsia="zxx" w:bidi="zxx"/>
        </w:rPr>
        <w:t>cap. I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din Ordonanța Guvernului nr. 6/2019 privind instituirea unor facilități fiscale, cu modificările și completările ulterioare, sau de </w:t>
      </w:r>
      <w:r>
        <w:rPr>
          <w:rFonts w:eastAsia="Microsoft YaHei" w:ascii="Times New Roman" w:hAnsi="Times New Roman"/>
          <w:color w:val="auto"/>
          <w:sz w:val="28"/>
          <w:szCs w:val="28"/>
          <w:lang w:val="zxx" w:eastAsia="zxx" w:bidi="zxx"/>
        </w:rPr>
        <w:t>cap. II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din Ordonanța de urgență a Guvernului nr. 69/2020 pentru modificarea și completarea Legii nr. 227/2015 privind </w:t>
      </w:r>
      <w:r>
        <w:rPr>
          <w:rFonts w:eastAsia="Microsoft YaHei" w:ascii="Times New Roman" w:hAnsi="Times New Roman"/>
          <w:color w:val="auto"/>
          <w:sz w:val="28"/>
          <w:szCs w:val="28"/>
          <w:lang w:val="zxx" w:eastAsia="zxx" w:bidi="zxx"/>
        </w:rPr>
        <w:t>Codul fiscal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, precum și pentru instituirea unor măsuri fiscale.</w:t>
      </w:r>
      <w:r>
        <w:rPr>
          <w:rFonts w:ascii="Times New Roman" w:hAnsi="Times New Roman"/>
          <w:color w:val="auto"/>
          <w:sz w:val="28"/>
          <w:szCs w:val="28"/>
          <w:vertAlign w:val="superscript"/>
          <w:lang w:val="zxx" w:eastAsia="zxx" w:bidi="zxx"/>
        </w:rPr>
        <w:t>4)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Cs/>
          <w:color w:val="auto"/>
          <w:sz w:val="28"/>
          <w:szCs w:val="28"/>
          <w:vertAlign w:val="superscript"/>
          <w:lang w:val="zxx" w:eastAsia="zxx" w:bidi="zxx"/>
        </w:rPr>
        <w:t>4)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Aceste precizări sunt valabile pentru debitorii care au depus notificări privind intenția de a beneficia de restructurarea obligațiilor bugetare/anularea la plată a obligațiilor accesorii depusă în temeiul </w:t>
      </w:r>
      <w:r>
        <w:rPr>
          <w:rFonts w:eastAsia="Microsoft YaHei" w:ascii="Times New Roman" w:hAnsi="Times New Roman"/>
          <w:color w:val="auto"/>
          <w:sz w:val="28"/>
          <w:szCs w:val="28"/>
          <w:lang w:val="zxx" w:eastAsia="zxx" w:bidi="zxx"/>
        </w:rPr>
        <w:t>cap. I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din Ordonanța Guvernului nr. 6/2019 privind instituirea unor facilități fiscale, cu modificările și completările ulterioare, sau </w:t>
      </w:r>
      <w:r>
        <w:rPr>
          <w:rFonts w:eastAsia="Microsoft YaHei" w:ascii="Times New Roman" w:hAnsi="Times New Roman"/>
          <w:color w:val="auto"/>
          <w:sz w:val="28"/>
          <w:szCs w:val="28"/>
          <w:lang w:val="zxx" w:eastAsia="zxx" w:bidi="zxx"/>
        </w:rPr>
        <w:t>cap. II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 din Ordonanța de urgență a Guvernului nr. 69/2020 pentru modificarea și completarea Legii nr. 227/2015 privind </w:t>
      </w:r>
      <w:r>
        <w:rPr>
          <w:rFonts w:eastAsia="Microsoft YaHei" w:ascii="Times New Roman" w:hAnsi="Times New Roman"/>
          <w:color w:val="auto"/>
          <w:sz w:val="28"/>
          <w:szCs w:val="28"/>
          <w:lang w:val="zxx" w:eastAsia="zxx" w:bidi="zxx"/>
        </w:rPr>
        <w:t>Codul fiscal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, precum și pentru instituirea unor măsuri fiscale.</w:t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Al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tbl>
      <w:tblPr>
        <w:tblW w:w="913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"/>
        <w:gridCol w:w="9119"/>
      </w:tblGrid>
      <w:tr>
        <w:trPr>
          <w:trHeight w:val="15" w:hRule="exact"/>
        </w:trPr>
        <w:tc>
          <w:tcPr>
            <w:tcW w:w="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9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1035" w:hRule="atLeast"/>
        </w:trPr>
        <w:tc>
          <w:tcPr>
            <w:tcW w:w="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9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zxx" w:eastAsia="zxx" w:bidi="zxx"/>
              </w:rPr>
              <w:t>Reprezentant legal/fiscal/împuternicit al contribuabilului:</w:t>
              <w:br/>
              <w:t>Numele și prenumele: . . . . . . . . . .</w:t>
              <w:br/>
              <w:t>Calitatea . . . . . . . . . .</w:t>
              <w:br/>
              <w:t>Semnătura . . . . . . . . . .</w:t>
            </w:r>
          </w:p>
        </w:tc>
      </w:tr>
    </w:tbl>
    <w:p>
      <w:pPr>
        <w:pStyle w:val="Heading4"/>
        <w:spacing w:lineRule="auto" w:line="360" w:beforeAutospacing="0" w:before="0" w:afterAutospacing="0" w:after="0"/>
        <w:jc w:val="left"/>
        <w:rPr>
          <w:rFonts w:ascii="Times New Roman" w:hAnsi="Times New Roman"/>
          <w:b w:val="false"/>
          <w:b w:val="false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color w:val="auto"/>
          <w:sz w:val="28"/>
          <w:szCs w:val="28"/>
          <w:lang w:val="zxx" w:eastAsia="zxx" w:bidi="zxx"/>
        </w:rPr>
      </w:r>
    </w:p>
    <w:p>
      <w:pPr>
        <w:pStyle w:val="Heading4"/>
        <w:spacing w:lineRule="auto" w:line="360" w:beforeAutospacing="0" w:before="0" w:afterAutospacing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440" w:right="1440" w:header="0" w:top="810" w:footer="0" w:bottom="9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28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TextBody"/>
    <w:link w:val="Heading1Char"/>
    <w:qFormat/>
    <w:rsid w:val="00eb6104"/>
    <w:pPr>
      <w:keepNext w:val="true"/>
      <w:tabs>
        <w:tab w:val="clear" w:pos="720"/>
        <w:tab w:val="left" w:pos="0" w:leader="none"/>
      </w:tabs>
      <w:suppressAutoHyphens w:val="true"/>
      <w:spacing w:lineRule="auto" w:line="240" w:before="240" w:after="120"/>
      <w:ind w:left="432" w:hanging="432"/>
      <w:outlineLvl w:val="0"/>
    </w:pPr>
    <w:rPr>
      <w:rFonts w:ascii="Liberation Sans" w:hAnsi="Liberation Sans" w:eastAsia="Microsoft YaHei" w:cs="Mangal"/>
      <w:b/>
      <w:bCs/>
      <w:sz w:val="36"/>
      <w:szCs w:val="36"/>
      <w:lang w:val="ro-RO" w:eastAsia="zh-CN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979b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eb6104"/>
    <w:rPr>
      <w:rFonts w:ascii="Liberation Sans" w:hAnsi="Liberation Sans" w:eastAsia="Microsoft YaHei" w:cs="Mangal"/>
      <w:b/>
      <w:bCs/>
      <w:sz w:val="36"/>
      <w:szCs w:val="36"/>
      <w:lang w:val="ro-RO"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b6104"/>
    <w:rPr>
      <w:rFonts w:ascii="Arial" w:hAnsi="Arial" w:cs="Arial"/>
      <w:sz w:val="24"/>
      <w:szCs w:val="24"/>
      <w:lang w:eastAsia="zh-CN"/>
    </w:rPr>
  </w:style>
  <w:style w:type="character" w:styleId="Heading3Char" w:customStyle="1">
    <w:name w:val="Heading 3 Char"/>
    <w:link w:val="Heading3"/>
    <w:qFormat/>
    <w:rsid w:val="00eb6104"/>
    <w:rPr>
      <w:rFonts w:ascii="Arial" w:hAnsi="Arial" w:cs="Arial"/>
      <w:b/>
      <w:bCs/>
      <w:sz w:val="26"/>
      <w:szCs w:val="26"/>
    </w:rPr>
  </w:style>
  <w:style w:type="character" w:styleId="Strong">
    <w:name w:val="Strong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character" w:styleId="InternetLink">
    <w:name w:val="Internet Link"/>
    <w:basedOn w:val="DefaultParagraphFont"/>
    <w:uiPriority w:val="99"/>
    <w:unhideWhenUsed/>
    <w:rsid w:val="000c28e6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7979bb"/>
    <w:rPr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eb6104"/>
    <w:pPr>
      <w:suppressAutoHyphens w:val="true"/>
      <w:spacing w:lineRule="auto" w:line="240" w:before="0" w:after="120"/>
    </w:pPr>
    <w:rPr>
      <w:rFonts w:ascii="Arial" w:hAnsi="Arial" w:eastAsia="Times New Roman" w:cs="Arial"/>
      <w:sz w:val="24"/>
      <w:szCs w:val="24"/>
      <w:lang w:eastAsia="zh-CN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eb6104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highlight w:val="white"/>
      <w:lang w:eastAsia="zh-CN"/>
    </w:rPr>
  </w:style>
  <w:style w:type="paragraph" w:styleId="ListParagraph">
    <w:name w:val="List Paragraph"/>
    <w:basedOn w:val="Normal"/>
    <w:uiPriority w:val="34"/>
    <w:qFormat/>
    <w:rsid w:val="00eb6104"/>
    <w:pPr>
      <w:ind w:left="720" w:hanging="0"/>
    </w:pPr>
    <w:rPr>
      <w:rFonts w:ascii="Calibri" w:hAnsi="Calibri" w:eastAsia="Times New Roman" w:cs="Calibri"/>
      <w:lang w:val="en-GB"/>
    </w:rPr>
  </w:style>
  <w:style w:type="paragraph" w:styleId="Al" w:customStyle="1">
    <w:name w:val="a_l"/>
    <w:basedOn w:val="Normal"/>
    <w:qFormat/>
    <w:rsid w:val="007979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LibreOffice/6.2.4.2$Windows_X86_64 LibreOffice_project/2412653d852ce75f65fbfa83fb7e7b669a126d64</Application>
  <Pages>3</Pages>
  <Words>783</Words>
  <Characters>3574</Characters>
  <CharactersWithSpaces>4324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2020-11-16T08:10:00Z</dcterms:created>
  <dc:creator>Alexandra Simion</dc:creator>
  <dc:description/>
  <dc:language>en-US</dc:language>
  <cp:lastModifiedBy/>
  <dcterms:modified xsi:type="dcterms:W3CDTF">2020-11-24T12:08:31Z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